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693B5" w14:textId="5C2DE4CB" w:rsidR="00750BE2" w:rsidRPr="000613D3" w:rsidRDefault="00750BE2" w:rsidP="00750BE2">
      <w:pPr>
        <w:pStyle w:val="Header"/>
        <w:tabs>
          <w:tab w:val="clear" w:pos="4536"/>
        </w:tabs>
        <w:rPr>
          <w:i/>
          <w:lang w:val="de-DE"/>
        </w:rPr>
      </w:pPr>
      <w:r w:rsidRPr="000613D3">
        <w:rPr>
          <w:lang w:val="de-DE"/>
        </w:rPr>
        <w:t>TSG-RAN WG1 #86bis</w:t>
      </w:r>
      <w:r w:rsidRPr="000613D3">
        <w:rPr>
          <w:lang w:val="de-DE"/>
        </w:rPr>
        <w:tab/>
        <w:t>R1-</w:t>
      </w:r>
      <w:r w:rsidR="009F6FD4" w:rsidRPr="009F6FD4">
        <w:rPr>
          <w:lang w:val="de-DE"/>
        </w:rPr>
        <w:t>160</w:t>
      </w:r>
      <w:bookmarkStart w:id="0" w:name="_GoBack"/>
      <w:bookmarkEnd w:id="0"/>
      <w:r w:rsidR="009F6FD4" w:rsidRPr="009F6FD4">
        <w:rPr>
          <w:lang w:val="de-DE"/>
        </w:rPr>
        <w:t>9622</w:t>
      </w:r>
    </w:p>
    <w:p w14:paraId="0BAD7F04" w14:textId="77777777" w:rsidR="00750BE2" w:rsidRPr="000833FA" w:rsidRDefault="00750BE2" w:rsidP="00750BE2">
      <w:pPr>
        <w:pStyle w:val="Header"/>
        <w:rPr>
          <w:color w:val="000000"/>
        </w:rPr>
      </w:pPr>
      <w:r>
        <w:t>Lisbon, Portugal, October 10 – 14, 2016</w:t>
      </w:r>
    </w:p>
    <w:p w14:paraId="19EE8463" w14:textId="77777777" w:rsidR="00750BE2" w:rsidRPr="000833FA" w:rsidRDefault="00750BE2" w:rsidP="00750BE2">
      <w:pPr>
        <w:pStyle w:val="Header"/>
      </w:pPr>
    </w:p>
    <w:p w14:paraId="6E598BD3" w14:textId="77777777" w:rsidR="00750BE2" w:rsidRPr="0003368D" w:rsidRDefault="00750BE2" w:rsidP="00750BE2">
      <w:pPr>
        <w:pStyle w:val="Header"/>
        <w:tabs>
          <w:tab w:val="clear" w:pos="4536"/>
          <w:tab w:val="left" w:pos="1800"/>
        </w:tabs>
        <w:ind w:left="1800" w:hanging="1800"/>
      </w:pPr>
      <w:r w:rsidRPr="0003368D">
        <w:t>Source:</w:t>
      </w:r>
      <w:r w:rsidRPr="0003368D">
        <w:tab/>
        <w:t>Ericsson</w:t>
      </w:r>
    </w:p>
    <w:p w14:paraId="7C5610E4" w14:textId="77777777" w:rsidR="00750BE2" w:rsidRPr="00E220C0" w:rsidRDefault="00750BE2" w:rsidP="00750BE2">
      <w:pPr>
        <w:pStyle w:val="Header"/>
        <w:tabs>
          <w:tab w:val="clear" w:pos="4536"/>
          <w:tab w:val="left" w:pos="1800"/>
        </w:tabs>
      </w:pPr>
      <w:r w:rsidRPr="0003368D">
        <w:t>Title:</w:t>
      </w:r>
      <w:bookmarkStart w:id="1" w:name="Title"/>
      <w:bookmarkEnd w:id="1"/>
      <w:r w:rsidRPr="0003368D">
        <w:tab/>
      </w:r>
      <w:r>
        <w:t>On DL HARQ feedback transmission in UL</w:t>
      </w:r>
    </w:p>
    <w:p w14:paraId="0CD2E2C2" w14:textId="45F8AF7D" w:rsidR="00750BE2" w:rsidRPr="00E220C0" w:rsidRDefault="00750BE2" w:rsidP="00750BE2">
      <w:pPr>
        <w:pStyle w:val="Header"/>
        <w:tabs>
          <w:tab w:val="left" w:pos="1800"/>
        </w:tabs>
      </w:pPr>
      <w:r w:rsidRPr="00E220C0">
        <w:t>Agenda Item:</w:t>
      </w:r>
      <w:bookmarkStart w:id="2" w:name="Source"/>
      <w:bookmarkEnd w:id="2"/>
      <w:r w:rsidRPr="00E220C0">
        <w:tab/>
      </w:r>
      <w:r w:rsidRPr="00537B4C">
        <w:t>8.1.</w:t>
      </w:r>
      <w:r w:rsidR="00AD6BB9">
        <w:t>7</w:t>
      </w:r>
      <w:r>
        <w:t>.1</w:t>
      </w:r>
    </w:p>
    <w:p w14:paraId="1151DD8F" w14:textId="77777777" w:rsidR="00750BE2" w:rsidRPr="0003368D" w:rsidRDefault="00750BE2" w:rsidP="00750BE2">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0CAD6974" w14:textId="77777777" w:rsidR="00750BE2" w:rsidRPr="002100D2" w:rsidRDefault="00750BE2" w:rsidP="00750BE2">
      <w:pPr>
        <w:pBdr>
          <w:bottom w:val="single" w:sz="4" w:space="1" w:color="auto"/>
        </w:pBdr>
        <w:tabs>
          <w:tab w:val="left" w:pos="2552"/>
        </w:tabs>
      </w:pPr>
    </w:p>
    <w:p w14:paraId="73B34AF3" w14:textId="77777777" w:rsidR="00750BE2" w:rsidRDefault="00750BE2" w:rsidP="00750BE2">
      <w:pPr>
        <w:pStyle w:val="Heading1"/>
        <w:spacing w:before="180"/>
        <w:ind w:left="562" w:hanging="562"/>
      </w:pPr>
      <w:r>
        <w:t>Introduction</w:t>
      </w:r>
    </w:p>
    <w:p w14:paraId="404F34E1" w14:textId="77777777" w:rsidR="00750BE2" w:rsidRDefault="00750BE2" w:rsidP="00750BE2">
      <w:pPr>
        <w:pStyle w:val="BodyText"/>
      </w:pPr>
      <w:r>
        <w:t>Most of the DL HARQ feedback transmission schemes presented so far focused on the transmission of DL ACK/NACK at the end of a DL-heavy slot duration (with the ACK/NACK corresponding to the DL transmission of the same slot or an earlier slot). Several reasons suggest the need for additional feedback transmission scheme, e.g. the UL transmission duration at the end of a DL-heavy slot is very short resulting in small coverage. It is important that NR coverage can match LTE coverage in similar conditions, therefore additional DL HARQ feedback transmission scheme is needed. Coexistence with LTE FS2 – where NR and LTE must share the same UL/DL pattern – is another reason additional feedback transmission scheme is needs.</w:t>
      </w:r>
    </w:p>
    <w:p w14:paraId="39AC6518" w14:textId="77777777" w:rsidR="00750BE2" w:rsidRDefault="00750BE2" w:rsidP="00750BE2">
      <w:pPr>
        <w:pStyle w:val="Heading1"/>
        <w:spacing w:before="180"/>
        <w:ind w:left="562" w:hanging="562"/>
      </w:pPr>
      <w:r>
        <w:t>Discussion</w:t>
      </w:r>
    </w:p>
    <w:p w14:paraId="25AF1CE4" w14:textId="77777777" w:rsidR="00750BE2" w:rsidRDefault="00750BE2" w:rsidP="00750BE2">
      <w:pPr>
        <w:pStyle w:val="BodyText"/>
        <w:rPr>
          <w:lang w:eastAsia="ja-JP"/>
        </w:rPr>
      </w:pPr>
      <w:r>
        <w:rPr>
          <w:lang w:eastAsia="ja-JP"/>
        </w:rPr>
        <w:t xml:space="preserve">In most RAN1 discussions on DL HARQ feedback transmission in UL a rapid HARQ ACK/NACK feedback transmitted either at the end of the same or at the end of a subsequent slot duration is described. See </w:t>
      </w:r>
      <w:r>
        <w:rPr>
          <w:lang w:eastAsia="ja-JP"/>
        </w:rPr>
        <w:fldChar w:fldCharType="begin"/>
      </w:r>
      <w:r>
        <w:rPr>
          <w:lang w:eastAsia="ja-JP"/>
        </w:rPr>
        <w:instrText xml:space="preserve"> REF _Ref462319248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for an illustration. </w:t>
      </w:r>
    </w:p>
    <w:p w14:paraId="49F42221" w14:textId="77777777" w:rsidR="00750BE2" w:rsidRDefault="00750BE2" w:rsidP="00750BE2">
      <w:pPr>
        <w:pStyle w:val="BodyText"/>
        <w:jc w:val="center"/>
        <w:rPr>
          <w:lang w:eastAsia="ja-JP"/>
        </w:rPr>
      </w:pPr>
      <w:r>
        <w:rPr>
          <w:noProof/>
        </w:rPr>
        <w:drawing>
          <wp:inline distT="0" distB="0" distL="0" distR="0" wp14:anchorId="68038767" wp14:editId="6A6E6F27">
            <wp:extent cx="1638000" cy="687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8">
                      <a:extLst>
                        <a:ext uri="{28A0092B-C50C-407E-A947-70E740481C1C}">
                          <a14:useLocalDpi xmlns:a14="http://schemas.microsoft.com/office/drawing/2010/main" val="0"/>
                        </a:ext>
                      </a:extLst>
                    </a:blip>
                    <a:stretch>
                      <a:fillRect/>
                    </a:stretch>
                  </pic:blipFill>
                  <pic:spPr>
                    <a:xfrm>
                      <a:off x="0" y="0"/>
                      <a:ext cx="1638000" cy="687600"/>
                    </a:xfrm>
                    <a:prstGeom prst="rect">
                      <a:avLst/>
                    </a:prstGeom>
                  </pic:spPr>
                </pic:pic>
              </a:graphicData>
            </a:graphic>
          </wp:inline>
        </w:drawing>
      </w:r>
    </w:p>
    <w:p w14:paraId="35CE3AE2" w14:textId="77777777" w:rsidR="00750BE2" w:rsidRDefault="00750BE2" w:rsidP="00750BE2">
      <w:pPr>
        <w:pStyle w:val="Caption"/>
        <w:rPr>
          <w:lang w:eastAsia="ja-JP"/>
        </w:rPr>
      </w:pPr>
      <w:bookmarkStart w:id="4" w:name="_Ref462319248"/>
      <w:r>
        <w:t xml:space="preserve">Figure </w:t>
      </w:r>
      <w:r>
        <w:fldChar w:fldCharType="begin"/>
      </w:r>
      <w:r>
        <w:instrText xml:space="preserve"> SEQ Figure \* ARABIC </w:instrText>
      </w:r>
      <w:r>
        <w:fldChar w:fldCharType="separate"/>
      </w:r>
      <w:r>
        <w:rPr>
          <w:noProof/>
        </w:rPr>
        <w:t>1</w:t>
      </w:r>
      <w:r>
        <w:fldChar w:fldCharType="end"/>
      </w:r>
      <w:bookmarkEnd w:id="4"/>
      <w:r>
        <w:t>: DL HARQ feedback is transmitted at the end of a DL-heavy slot duration (“immediate” ACK/NACK).</w:t>
      </w:r>
    </w:p>
    <w:p w14:paraId="43B5C359" w14:textId="77777777" w:rsidR="00750BE2" w:rsidRDefault="00750BE2" w:rsidP="00750BE2">
      <w:pPr>
        <w:pStyle w:val="BodyText"/>
        <w:rPr>
          <w:lang w:eastAsia="ja-JP"/>
        </w:rPr>
      </w:pPr>
      <w:r>
        <w:rPr>
          <w:lang w:eastAsia="ja-JP"/>
        </w:rPr>
        <w:t xml:space="preserve">A likely outcome of the NR frame structure discussion is a slot length of 7 and/or 14 symbols. To fit the feedback into a small part at the slot end the UL transmission can obviously only be short, typically one or very few symbols. Depending on the numerology one OFDM symbol has length </w:t>
      </w:r>
      <m:oMath>
        <m:r>
          <m:rPr>
            <m:sty m:val="p"/>
          </m:rPr>
          <w:rPr>
            <w:rFonts w:ascii="Cambria Math" w:hAnsi="Cambria Math"/>
            <w:lang w:eastAsia="ja-JP"/>
          </w:rPr>
          <m:t>67 µs</m:t>
        </m:r>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n</m:t>
            </m:r>
          </m:sup>
        </m:sSup>
      </m:oMath>
      <w:r>
        <w:rPr>
          <w:lang w:eastAsia="ja-JP"/>
        </w:rPr>
        <w:t xml:space="preserve">. For LTE-like deployments at least </w:t>
      </w:r>
      <m:oMath>
        <m:r>
          <w:rPr>
            <w:rFonts w:ascii="Cambria Math" w:hAnsi="Cambria Math"/>
            <w:lang w:eastAsia="ja-JP"/>
          </w:rPr>
          <m:t>n=0</m:t>
        </m:r>
      </m:oMath>
      <w:r>
        <w:rPr>
          <w:lang w:eastAsia="ja-JP"/>
        </w:rPr>
        <w:t xml:space="preserve"> (15 kHz) and </w:t>
      </w:r>
      <m:oMath>
        <m:r>
          <w:rPr>
            <w:rFonts w:ascii="Cambria Math" w:hAnsi="Cambria Math"/>
            <w:lang w:eastAsia="ja-JP"/>
          </w:rPr>
          <m:t>n=1</m:t>
        </m:r>
      </m:oMath>
      <w:r>
        <w:rPr>
          <w:lang w:eastAsia="ja-JP"/>
        </w:rPr>
        <w:t xml:space="preserve"> (30 kHz) are interesting options. Feedback transmission over one or few OFDM symbols is much shorter than the LTE PUCCH transmission duration of 1 ms with accordingly reduced coverage. To match LTE PUCCH link budget, it must be possible to transmit DL HARQ feedback in UL over a duration of around 1 ms. The application of multiple RX antennas in the eNB allows shorter transmission durations, however, </w:t>
      </w:r>
      <w:r w:rsidRPr="009F6FD4">
        <w:rPr>
          <w:lang w:eastAsia="ja-JP"/>
        </w:rPr>
        <w:t>we believe it is important that NR matches LTE coverage even for similar eNB antenna arrangements.</w:t>
      </w:r>
    </w:p>
    <w:p w14:paraId="2F13FF9B" w14:textId="77777777" w:rsidR="00750BE2" w:rsidRPr="00052CD4" w:rsidRDefault="00750BE2" w:rsidP="00750BE2">
      <w:pPr>
        <w:pStyle w:val="BodyText"/>
        <w:rPr>
          <w:b/>
          <w:i/>
          <w:lang w:eastAsia="ja-JP"/>
        </w:rPr>
      </w:pPr>
      <w:r w:rsidRPr="00052CD4">
        <w:rPr>
          <w:b/>
          <w:i/>
          <w:lang w:eastAsia="ja-JP"/>
        </w:rPr>
        <w:t xml:space="preserve">Observation 1: To match LTE PUCCH </w:t>
      </w:r>
      <w:r>
        <w:rPr>
          <w:b/>
          <w:i/>
          <w:lang w:eastAsia="ja-JP"/>
        </w:rPr>
        <w:t>link budget</w:t>
      </w:r>
      <w:r w:rsidRPr="00052CD4">
        <w:rPr>
          <w:b/>
          <w:i/>
          <w:lang w:eastAsia="ja-JP"/>
        </w:rPr>
        <w:t xml:space="preserve">, </w:t>
      </w:r>
      <w:r>
        <w:rPr>
          <w:b/>
          <w:i/>
          <w:lang w:eastAsia="ja-JP"/>
        </w:rPr>
        <w:t xml:space="preserve">it should be possible to transmit DL HARQ feedback transmissions over approximately 1 ms. </w:t>
      </w:r>
    </w:p>
    <w:p w14:paraId="2D41A1B8" w14:textId="0BD8E22F" w:rsidR="00750BE2" w:rsidRDefault="00750BE2" w:rsidP="00750BE2">
      <w:pPr>
        <w:pStyle w:val="BodyText"/>
        <w:rPr>
          <w:lang w:eastAsia="ja-JP"/>
        </w:rPr>
      </w:pPr>
      <w:r>
        <w:rPr>
          <w:lang w:eastAsia="ja-JP"/>
        </w:rPr>
        <w:t xml:space="preserve">It is envisioned that NR can coexist with LTE FS2 if deployed in the same band. Depending on interference situation this may require same DL/UL pattern in LTE and NR. In such cases it is not possible to transmit DL HARQ feedback at the end of a DL-heavy slot. The UL transmission must be delayed until the next UL opportunity in LTE FS2, see </w:t>
      </w:r>
      <w:r>
        <w:rPr>
          <w:lang w:eastAsia="ja-JP"/>
        </w:rPr>
        <w:fldChar w:fldCharType="begin"/>
      </w:r>
      <w:r>
        <w:rPr>
          <w:lang w:eastAsia="ja-JP"/>
        </w:rPr>
        <w:instrText xml:space="preserve"> REF _Ref462319670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w:t>
      </w:r>
    </w:p>
    <w:p w14:paraId="1A69D628" w14:textId="3A1997DE" w:rsidR="009F6FD4" w:rsidRDefault="009F6FD4" w:rsidP="00750BE2">
      <w:pPr>
        <w:pStyle w:val="BodyText"/>
        <w:rPr>
          <w:lang w:eastAsia="ja-JP"/>
        </w:rPr>
      </w:pPr>
      <w:r>
        <w:rPr>
          <w:noProof/>
        </w:rPr>
        <w:drawing>
          <wp:inline distT="0" distB="0" distL="0" distR="0" wp14:anchorId="02E3E902" wp14:editId="2D2DABDE">
            <wp:extent cx="5760720" cy="145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3.png"/>
                    <pic:cNvPicPr/>
                  </pic:nvPicPr>
                  <pic:blipFill>
                    <a:blip r:embed="rId9">
                      <a:extLst>
                        <a:ext uri="{28A0092B-C50C-407E-A947-70E740481C1C}">
                          <a14:useLocalDpi xmlns:a14="http://schemas.microsoft.com/office/drawing/2010/main" val="0"/>
                        </a:ext>
                      </a:extLst>
                    </a:blip>
                    <a:stretch>
                      <a:fillRect/>
                    </a:stretch>
                  </pic:blipFill>
                  <pic:spPr>
                    <a:xfrm>
                      <a:off x="0" y="0"/>
                      <a:ext cx="5760720" cy="1450975"/>
                    </a:xfrm>
                    <a:prstGeom prst="rect">
                      <a:avLst/>
                    </a:prstGeom>
                  </pic:spPr>
                </pic:pic>
              </a:graphicData>
            </a:graphic>
          </wp:inline>
        </w:drawing>
      </w:r>
    </w:p>
    <w:p w14:paraId="49E5E377" w14:textId="6E74ECD0" w:rsidR="00750BE2" w:rsidRDefault="00750BE2" w:rsidP="00750BE2">
      <w:pPr>
        <w:pStyle w:val="BodyText"/>
        <w:jc w:val="center"/>
        <w:rPr>
          <w:lang w:eastAsia="ja-JP"/>
        </w:rPr>
      </w:pPr>
    </w:p>
    <w:p w14:paraId="13541AFC" w14:textId="6D37AC46" w:rsidR="00750BE2" w:rsidRDefault="00750BE2" w:rsidP="00750BE2">
      <w:pPr>
        <w:pStyle w:val="Caption"/>
        <w:rPr>
          <w:lang w:eastAsia="ja-JP"/>
        </w:rPr>
      </w:pPr>
      <w:bookmarkStart w:id="5" w:name="_Ref462319670"/>
      <w:r>
        <w:lastRenderedPageBreak/>
        <w:t xml:space="preserve">Figure </w:t>
      </w:r>
      <w:r>
        <w:fldChar w:fldCharType="begin"/>
      </w:r>
      <w:r>
        <w:instrText xml:space="preserve"> SEQ Figure \* ARABIC </w:instrText>
      </w:r>
      <w:r>
        <w:fldChar w:fldCharType="separate"/>
      </w:r>
      <w:r>
        <w:rPr>
          <w:noProof/>
        </w:rPr>
        <w:t>2</w:t>
      </w:r>
      <w:r>
        <w:fldChar w:fldCharType="end"/>
      </w:r>
      <w:bookmarkEnd w:id="5"/>
      <w:r>
        <w:t>: In coexistence-scenario with LTE TDD, DL HARQ feedback transmission must be delayed until next LTE FS2 UL opportunity.</w:t>
      </w:r>
    </w:p>
    <w:p w14:paraId="1C9BE55B" w14:textId="77777777" w:rsidR="00750BE2" w:rsidRPr="00052CD4" w:rsidRDefault="00750BE2" w:rsidP="00750BE2">
      <w:pPr>
        <w:pStyle w:val="BodyText"/>
        <w:rPr>
          <w:b/>
          <w:i/>
        </w:rPr>
      </w:pPr>
      <w:r w:rsidRPr="00052CD4">
        <w:rPr>
          <w:b/>
          <w:i/>
          <w:lang w:eastAsia="ja-JP"/>
        </w:rPr>
        <w:t xml:space="preserve">Observation 2: </w:t>
      </w:r>
      <w:r w:rsidRPr="00052CD4">
        <w:rPr>
          <w:b/>
          <w:i/>
        </w:rPr>
        <w:t>In coexistence-scenario with LTE TDD, DL HARQ feedback must be delayed until next LTE FS2 UL opportunity.</w:t>
      </w:r>
    </w:p>
    <w:p w14:paraId="23BA8331" w14:textId="77777777" w:rsidR="00750BE2" w:rsidRDefault="00750BE2" w:rsidP="00750BE2">
      <w:pPr>
        <w:pStyle w:val="BodyText"/>
      </w:pPr>
      <w:r>
        <w:t>To solve the link budget issue pointed out in Observation 1 and to solve the coexistence with LTE FS2 an additional DL HARQ feedback transmission scheme is needed in addition to the DL HARQ feedback transmission at the end of a DL-heavy slot duration.</w:t>
      </w:r>
    </w:p>
    <w:p w14:paraId="4547ABF1" w14:textId="77777777" w:rsidR="00750BE2" w:rsidRPr="00052CD4" w:rsidRDefault="00750BE2" w:rsidP="00750BE2">
      <w:pPr>
        <w:pStyle w:val="BodyText"/>
        <w:rPr>
          <w:b/>
          <w:i/>
        </w:rPr>
      </w:pPr>
      <w:r w:rsidRPr="00052CD4">
        <w:rPr>
          <w:b/>
          <w:i/>
        </w:rPr>
        <w:t xml:space="preserve">Proposal 1: NR must provide DL HARQ feedback </w:t>
      </w:r>
      <w:r>
        <w:rPr>
          <w:b/>
          <w:i/>
        </w:rPr>
        <w:t>transmission scheme in UL</w:t>
      </w:r>
      <w:r w:rsidRPr="00052CD4">
        <w:rPr>
          <w:b/>
          <w:i/>
        </w:rPr>
        <w:t xml:space="preserve"> enabling similar </w:t>
      </w:r>
      <w:r>
        <w:rPr>
          <w:b/>
          <w:i/>
        </w:rPr>
        <w:t>link budget</w:t>
      </w:r>
      <w:r w:rsidRPr="00052CD4">
        <w:rPr>
          <w:b/>
          <w:i/>
        </w:rPr>
        <w:t xml:space="preserve"> as LTE PUCCH Format 1a.</w:t>
      </w:r>
    </w:p>
    <w:p w14:paraId="699C1EC8" w14:textId="77777777" w:rsidR="00750BE2" w:rsidRDefault="00750BE2" w:rsidP="00750BE2">
      <w:pPr>
        <w:pStyle w:val="BodyText"/>
      </w:pPr>
      <w:r w:rsidRPr="00052CD4">
        <w:rPr>
          <w:b/>
          <w:i/>
        </w:rPr>
        <w:t xml:space="preserve">Proposal 2: NR must provide DL HARQ feedback </w:t>
      </w:r>
      <w:r>
        <w:rPr>
          <w:b/>
          <w:i/>
        </w:rPr>
        <w:t>transmission scheme</w:t>
      </w:r>
      <w:r w:rsidRPr="00052CD4">
        <w:rPr>
          <w:b/>
          <w:i/>
        </w:rPr>
        <w:t xml:space="preserve"> enabling coexistence with LTE FS2.</w:t>
      </w:r>
    </w:p>
    <w:p w14:paraId="2555BD84" w14:textId="77777777" w:rsidR="00750BE2" w:rsidRDefault="00750BE2" w:rsidP="00750BE2">
      <w:pPr>
        <w:pStyle w:val="BodyText"/>
        <w:rPr>
          <w:lang w:eastAsia="ja-JP"/>
        </w:rPr>
      </w:pPr>
      <w:r>
        <w:t xml:space="preserve">One possible mechanism could be to rely on the eNB polling feedback for outstanding DL HARQ processes and scheduling the feedback transmission similar to a regular UL transmission. By selecting the transmission time, the eNB can obviously ensure aligned UL transmissions with LTE FS2. To ensure adequate link budget the feedback transmissions may have to extend beyond a slot (especially if a slot is only 7 OFDM symbols or for a numerology with </w:t>
      </w:r>
      <m:oMath>
        <m:r>
          <w:rPr>
            <w:rFonts w:ascii="Cambria Math" w:hAnsi="Cambria Math"/>
          </w:rPr>
          <m:t>n&gt;0)</m:t>
        </m:r>
      </m:oMath>
      <w:r>
        <w:t xml:space="preserve">. However, also for other reasons we propose in </w:t>
      </w:r>
      <w:r>
        <w:fldChar w:fldCharType="begin"/>
      </w:r>
      <w:r>
        <w:instrText xml:space="preserve"> REF _Ref458615443 \r \h </w:instrText>
      </w:r>
      <w:r>
        <w:fldChar w:fldCharType="separate"/>
      </w:r>
      <w:r>
        <w:t>[1]</w:t>
      </w:r>
      <w:r>
        <w:fldChar w:fldCharType="end"/>
      </w:r>
      <w:r>
        <w:t xml:space="preserve"> to specify aggregation of multipole slots in UL; the same principle could also be applied here to enable longer transmission durations with improved link budget.</w:t>
      </w:r>
    </w:p>
    <w:p w14:paraId="65544924" w14:textId="77777777" w:rsidR="00750BE2" w:rsidRDefault="00750BE2" w:rsidP="00750BE2">
      <w:pPr>
        <w:pStyle w:val="Heading1"/>
        <w:spacing w:before="180"/>
        <w:ind w:left="562" w:hanging="562"/>
      </w:pPr>
      <w:r>
        <w:t>Conclusion</w:t>
      </w:r>
    </w:p>
    <w:p w14:paraId="6D86E243" w14:textId="77777777" w:rsidR="00750BE2" w:rsidRDefault="00750BE2" w:rsidP="00750BE2">
      <w:pPr>
        <w:pStyle w:val="BodyText"/>
      </w:pPr>
      <w:r>
        <w:t>In this contribution we propose to define DL HARQ feedback transmission schemes in UL that match LTE PUCCH link budget and enable coexistence with LTE FS2.</w:t>
      </w:r>
    </w:p>
    <w:p w14:paraId="6AA30BAA" w14:textId="77777777" w:rsidR="00750BE2" w:rsidRPr="00052CD4" w:rsidRDefault="00750BE2" w:rsidP="00750BE2">
      <w:pPr>
        <w:pStyle w:val="BodyText"/>
        <w:rPr>
          <w:b/>
          <w:i/>
          <w:lang w:eastAsia="ja-JP"/>
        </w:rPr>
      </w:pPr>
      <w:r w:rsidRPr="00052CD4">
        <w:rPr>
          <w:b/>
          <w:i/>
          <w:lang w:eastAsia="ja-JP"/>
        </w:rPr>
        <w:t xml:space="preserve">Observation 1: To match LTE PUCCH </w:t>
      </w:r>
      <w:r>
        <w:rPr>
          <w:b/>
          <w:i/>
          <w:lang w:eastAsia="ja-JP"/>
        </w:rPr>
        <w:t>link budget</w:t>
      </w:r>
      <w:r w:rsidRPr="00052CD4">
        <w:rPr>
          <w:b/>
          <w:i/>
          <w:lang w:eastAsia="ja-JP"/>
        </w:rPr>
        <w:t xml:space="preserve">, </w:t>
      </w:r>
      <w:r>
        <w:rPr>
          <w:b/>
          <w:i/>
          <w:lang w:eastAsia="ja-JP"/>
        </w:rPr>
        <w:t xml:space="preserve">it should be possible to transmit DL HARQ feedback transmissions over approximately 1 ms. </w:t>
      </w:r>
    </w:p>
    <w:p w14:paraId="0C03652F" w14:textId="77777777" w:rsidR="00750BE2" w:rsidRPr="00052CD4" w:rsidRDefault="00750BE2" w:rsidP="00750BE2">
      <w:pPr>
        <w:pStyle w:val="BodyText"/>
        <w:rPr>
          <w:b/>
          <w:i/>
        </w:rPr>
      </w:pPr>
      <w:r w:rsidRPr="00052CD4">
        <w:rPr>
          <w:b/>
          <w:i/>
          <w:lang w:eastAsia="ja-JP"/>
        </w:rPr>
        <w:t xml:space="preserve">Observation 2: </w:t>
      </w:r>
      <w:r w:rsidRPr="00052CD4">
        <w:rPr>
          <w:b/>
          <w:i/>
        </w:rPr>
        <w:t>In coexistence-scenario with LTE TDD, DL HARQ feedback must be delayed until next LTE FS2 UL opportunity.</w:t>
      </w:r>
    </w:p>
    <w:p w14:paraId="794D692E" w14:textId="77777777" w:rsidR="00750BE2" w:rsidRPr="00052CD4" w:rsidRDefault="00750BE2" w:rsidP="00750BE2">
      <w:pPr>
        <w:pStyle w:val="BodyText"/>
        <w:rPr>
          <w:b/>
          <w:i/>
        </w:rPr>
      </w:pPr>
      <w:r w:rsidRPr="00052CD4">
        <w:rPr>
          <w:b/>
          <w:i/>
        </w:rPr>
        <w:t xml:space="preserve">Proposal 1: NR must provide DL HARQ feedback </w:t>
      </w:r>
      <w:r>
        <w:rPr>
          <w:b/>
          <w:i/>
        </w:rPr>
        <w:t>transmission scheme in UL</w:t>
      </w:r>
      <w:r w:rsidRPr="00052CD4">
        <w:rPr>
          <w:b/>
          <w:i/>
        </w:rPr>
        <w:t xml:space="preserve"> enabling similar </w:t>
      </w:r>
      <w:r>
        <w:rPr>
          <w:b/>
          <w:i/>
        </w:rPr>
        <w:t>link budget</w:t>
      </w:r>
      <w:r w:rsidRPr="00052CD4">
        <w:rPr>
          <w:b/>
          <w:i/>
        </w:rPr>
        <w:t xml:space="preserve"> as LTE PUCCH Format 1a.</w:t>
      </w:r>
    </w:p>
    <w:p w14:paraId="29C8F0E4" w14:textId="77777777" w:rsidR="00750BE2" w:rsidRDefault="00750BE2" w:rsidP="00750BE2">
      <w:pPr>
        <w:pStyle w:val="BodyText"/>
      </w:pPr>
      <w:r w:rsidRPr="00052CD4">
        <w:rPr>
          <w:b/>
          <w:i/>
        </w:rPr>
        <w:t xml:space="preserve">Proposal 2: NR must provide DL HARQ feedback </w:t>
      </w:r>
      <w:r>
        <w:rPr>
          <w:b/>
          <w:i/>
        </w:rPr>
        <w:t>transmission scheme</w:t>
      </w:r>
      <w:r w:rsidRPr="00052CD4">
        <w:rPr>
          <w:b/>
          <w:i/>
        </w:rPr>
        <w:t xml:space="preserve"> enabling coexistence with LTE FS2.</w:t>
      </w:r>
    </w:p>
    <w:p w14:paraId="1CCE12F4" w14:textId="77777777" w:rsidR="00750BE2" w:rsidRDefault="00750BE2" w:rsidP="00750BE2">
      <w:pPr>
        <w:pStyle w:val="Heading1"/>
        <w:spacing w:before="180"/>
        <w:ind w:left="562" w:hanging="562"/>
      </w:pPr>
      <w:r>
        <w:t>Conclusion</w:t>
      </w:r>
    </w:p>
    <w:p w14:paraId="28B9CFFE" w14:textId="77777777" w:rsidR="00750BE2" w:rsidRPr="00F7042E" w:rsidRDefault="00750BE2" w:rsidP="00750BE2">
      <w:pPr>
        <w:pStyle w:val="Reference"/>
        <w:rPr>
          <w:rFonts w:ascii="Times New Roman" w:hAnsi="Times New Roman"/>
          <w:lang w:val="it-IT"/>
        </w:rPr>
      </w:pPr>
      <w:bookmarkStart w:id="6" w:name="_Ref458160095"/>
      <w:bookmarkStart w:id="7" w:name="_Ref458615443"/>
      <w:r w:rsidRPr="00F7042E">
        <w:rPr>
          <w:rFonts w:ascii="Times New Roman" w:hAnsi="Times New Roman"/>
        </w:rPr>
        <w:t>R1-167</w:t>
      </w:r>
      <w:r>
        <w:rPr>
          <w:rFonts w:ascii="Times New Roman" w:hAnsi="Times New Roman"/>
        </w:rPr>
        <w:t>502</w:t>
      </w:r>
      <w:r w:rsidRPr="00F7042E">
        <w:rPr>
          <w:rFonts w:ascii="Times New Roman" w:hAnsi="Times New Roman"/>
        </w:rPr>
        <w:t>, “On multi-subframe scheduling for uplink transmissions”, Ericsson</w:t>
      </w:r>
      <w:bookmarkEnd w:id="6"/>
      <w:r w:rsidRPr="00F7042E">
        <w:rPr>
          <w:rFonts w:ascii="Times New Roman" w:hAnsi="Times New Roman"/>
        </w:rPr>
        <w:t>, RAN1#86, August 2016</w:t>
      </w:r>
      <w:bookmarkEnd w:id="7"/>
    </w:p>
    <w:p w14:paraId="7B6D0355" w14:textId="77777777" w:rsidR="00750BE2" w:rsidRPr="00F7042E" w:rsidRDefault="00750BE2" w:rsidP="00750BE2">
      <w:pPr>
        <w:pStyle w:val="BodyText"/>
        <w:rPr>
          <w:lang w:val="it-IT"/>
        </w:rPr>
      </w:pPr>
    </w:p>
    <w:p w14:paraId="2025DFB3" w14:textId="77777777" w:rsidR="00750BE2" w:rsidRPr="00214784" w:rsidRDefault="00750BE2" w:rsidP="00750BE2">
      <w:pPr>
        <w:pStyle w:val="BodyText"/>
      </w:pPr>
    </w:p>
    <w:p w14:paraId="34FE82A9" w14:textId="77777777" w:rsidR="00F7042E" w:rsidRPr="00750BE2" w:rsidRDefault="00F7042E" w:rsidP="00750BE2"/>
    <w:sectPr w:rsidR="00F7042E" w:rsidRPr="00750BE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638D0" w14:textId="77777777" w:rsidR="006525A2" w:rsidRDefault="006525A2">
      <w:r>
        <w:separator/>
      </w:r>
    </w:p>
  </w:endnote>
  <w:endnote w:type="continuationSeparator" w:id="0">
    <w:p w14:paraId="7A5C1A95" w14:textId="77777777" w:rsidR="006525A2" w:rsidRDefault="0065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3DF8D" w14:textId="77777777" w:rsidR="006525A2" w:rsidRDefault="006525A2">
      <w:r>
        <w:separator/>
      </w:r>
    </w:p>
  </w:footnote>
  <w:footnote w:type="continuationSeparator" w:id="0">
    <w:p w14:paraId="4C4DF2D4" w14:textId="77777777" w:rsidR="006525A2" w:rsidRDefault="00652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C35B" w14:textId="77777777" w:rsidR="004D4F57" w:rsidRDefault="006525A2"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7"/>
  </w:num>
  <w:num w:numId="3">
    <w:abstractNumId w:val="4"/>
  </w:num>
  <w:num w:numId="4">
    <w:abstractNumId w:val="8"/>
  </w:num>
  <w:num w:numId="5">
    <w:abstractNumId w:val="5"/>
  </w:num>
  <w:num w:numId="6">
    <w:abstractNumId w:val="2"/>
  </w:num>
  <w:num w:numId="7">
    <w:abstractNumId w:val="12"/>
  </w:num>
  <w:num w:numId="8">
    <w:abstractNumId w:val="14"/>
  </w:num>
  <w:num w:numId="9">
    <w:abstractNumId w:val="14"/>
  </w:num>
  <w:num w:numId="10">
    <w:abstractNumId w:val="13"/>
  </w:num>
  <w:num w:numId="11">
    <w:abstractNumId w:val="14"/>
  </w:num>
  <w:num w:numId="12">
    <w:abstractNumId w:val="11"/>
  </w:num>
  <w:num w:numId="13">
    <w:abstractNumId w:val="1"/>
  </w:num>
  <w:num w:numId="14">
    <w:abstractNumId w:val="3"/>
  </w:num>
  <w:num w:numId="15">
    <w:abstractNumId w:val="9"/>
  </w:num>
  <w:num w:numId="16">
    <w:abstractNumId w:val="0"/>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08EF"/>
    <w:rsid w:val="000217F8"/>
    <w:rsid w:val="00037C51"/>
    <w:rsid w:val="0004251E"/>
    <w:rsid w:val="00044DAD"/>
    <w:rsid w:val="00052CD4"/>
    <w:rsid w:val="000613D3"/>
    <w:rsid w:val="000A258F"/>
    <w:rsid w:val="001018DF"/>
    <w:rsid w:val="00112E18"/>
    <w:rsid w:val="00114B6A"/>
    <w:rsid w:val="00141448"/>
    <w:rsid w:val="00175D32"/>
    <w:rsid w:val="00191E60"/>
    <w:rsid w:val="001B4110"/>
    <w:rsid w:val="001C5CE9"/>
    <w:rsid w:val="0021013F"/>
    <w:rsid w:val="00214784"/>
    <w:rsid w:val="00272981"/>
    <w:rsid w:val="00290099"/>
    <w:rsid w:val="002D0AB6"/>
    <w:rsid w:val="002E6A70"/>
    <w:rsid w:val="00304706"/>
    <w:rsid w:val="00343A18"/>
    <w:rsid w:val="00350180"/>
    <w:rsid w:val="00361CA8"/>
    <w:rsid w:val="003875A3"/>
    <w:rsid w:val="003A3E47"/>
    <w:rsid w:val="004067C0"/>
    <w:rsid w:val="00422F7B"/>
    <w:rsid w:val="004837C7"/>
    <w:rsid w:val="004B57FD"/>
    <w:rsid w:val="004C321E"/>
    <w:rsid w:val="004E70DB"/>
    <w:rsid w:val="00525831"/>
    <w:rsid w:val="00537B4C"/>
    <w:rsid w:val="0054164C"/>
    <w:rsid w:val="00541E43"/>
    <w:rsid w:val="0055264E"/>
    <w:rsid w:val="0056282E"/>
    <w:rsid w:val="00570BCE"/>
    <w:rsid w:val="0057382E"/>
    <w:rsid w:val="00587AD2"/>
    <w:rsid w:val="005C439D"/>
    <w:rsid w:val="0061336B"/>
    <w:rsid w:val="00614B6C"/>
    <w:rsid w:val="0062673F"/>
    <w:rsid w:val="006525A2"/>
    <w:rsid w:val="00665E2A"/>
    <w:rsid w:val="006A286A"/>
    <w:rsid w:val="006B271B"/>
    <w:rsid w:val="006D59DF"/>
    <w:rsid w:val="00750BE2"/>
    <w:rsid w:val="0075384C"/>
    <w:rsid w:val="007569CA"/>
    <w:rsid w:val="007A01C0"/>
    <w:rsid w:val="00810C08"/>
    <w:rsid w:val="00815566"/>
    <w:rsid w:val="00834DE7"/>
    <w:rsid w:val="00860390"/>
    <w:rsid w:val="008A0B64"/>
    <w:rsid w:val="008B23D4"/>
    <w:rsid w:val="008E31D2"/>
    <w:rsid w:val="008F1869"/>
    <w:rsid w:val="008F77A7"/>
    <w:rsid w:val="0097401A"/>
    <w:rsid w:val="009A6BB8"/>
    <w:rsid w:val="009B1881"/>
    <w:rsid w:val="009B2E48"/>
    <w:rsid w:val="009C60EA"/>
    <w:rsid w:val="009E70EF"/>
    <w:rsid w:val="009F4079"/>
    <w:rsid w:val="009F6FD4"/>
    <w:rsid w:val="00A03B10"/>
    <w:rsid w:val="00A3059E"/>
    <w:rsid w:val="00A37001"/>
    <w:rsid w:val="00A41E84"/>
    <w:rsid w:val="00A46A48"/>
    <w:rsid w:val="00A47015"/>
    <w:rsid w:val="00A757B8"/>
    <w:rsid w:val="00A81AA1"/>
    <w:rsid w:val="00A85E54"/>
    <w:rsid w:val="00AA0A42"/>
    <w:rsid w:val="00AA13EF"/>
    <w:rsid w:val="00AC2A5F"/>
    <w:rsid w:val="00AD6BB9"/>
    <w:rsid w:val="00AD736D"/>
    <w:rsid w:val="00AE3947"/>
    <w:rsid w:val="00B00FDB"/>
    <w:rsid w:val="00B368D9"/>
    <w:rsid w:val="00B52C5F"/>
    <w:rsid w:val="00BA2CDD"/>
    <w:rsid w:val="00BA3D9B"/>
    <w:rsid w:val="00BA76BC"/>
    <w:rsid w:val="00BC7395"/>
    <w:rsid w:val="00BF2E8B"/>
    <w:rsid w:val="00BF7E13"/>
    <w:rsid w:val="00C1560A"/>
    <w:rsid w:val="00C326A6"/>
    <w:rsid w:val="00C50B3C"/>
    <w:rsid w:val="00C55346"/>
    <w:rsid w:val="00C61496"/>
    <w:rsid w:val="00C93774"/>
    <w:rsid w:val="00CE02E7"/>
    <w:rsid w:val="00CE28B2"/>
    <w:rsid w:val="00CF2225"/>
    <w:rsid w:val="00CF3F93"/>
    <w:rsid w:val="00CF67BE"/>
    <w:rsid w:val="00D02244"/>
    <w:rsid w:val="00D02349"/>
    <w:rsid w:val="00D03119"/>
    <w:rsid w:val="00D04257"/>
    <w:rsid w:val="00D350E3"/>
    <w:rsid w:val="00D516DD"/>
    <w:rsid w:val="00D701A0"/>
    <w:rsid w:val="00DA110D"/>
    <w:rsid w:val="00DB3BC8"/>
    <w:rsid w:val="00DC085D"/>
    <w:rsid w:val="00DD4245"/>
    <w:rsid w:val="00DE3421"/>
    <w:rsid w:val="00E0407B"/>
    <w:rsid w:val="00E220C0"/>
    <w:rsid w:val="00E57CED"/>
    <w:rsid w:val="00E63D88"/>
    <w:rsid w:val="00E8301A"/>
    <w:rsid w:val="00E83054"/>
    <w:rsid w:val="00EA148A"/>
    <w:rsid w:val="00EA172F"/>
    <w:rsid w:val="00EA1984"/>
    <w:rsid w:val="00EC338A"/>
    <w:rsid w:val="00F21365"/>
    <w:rsid w:val="00F31F29"/>
    <w:rsid w:val="00F37D49"/>
    <w:rsid w:val="00F7042E"/>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07510"/>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F7042E"/>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7042E"/>
    <w:rPr>
      <w:rFonts w:ascii="Arial" w:eastAsia="Times New Roman" w:hAnsi="Arial" w:cs="Times New Roman"/>
      <w:sz w:val="20"/>
      <w:szCs w:val="20"/>
      <w:lang w:val="en-GB" w:eastAsia="zh-CN"/>
    </w:rPr>
  </w:style>
  <w:style w:type="paragraph" w:styleId="Revision">
    <w:name w:val="Revision"/>
    <w:hidden/>
    <w:uiPriority w:val="99"/>
    <w:semiHidden/>
    <w:rsid w:val="006D59DF"/>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4594B-2B51-41F3-8C68-333FA430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Robert Baldemair</cp:lastModifiedBy>
  <cp:revision>2</cp:revision>
  <dcterms:created xsi:type="dcterms:W3CDTF">2016-09-30T07:30:00Z</dcterms:created>
  <dcterms:modified xsi:type="dcterms:W3CDTF">2016-09-30T07:30:00Z</dcterms:modified>
</cp:coreProperties>
</file>